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560" w:lineRule="exact"/>
        <w:ind w:firstLine="640"/>
        <w:outlineLvl w:val="0"/>
        <w:rPr>
          <w:rFonts w:hint="eastAsia" w:eastAsia="黑体" w:cs="Times New Roman"/>
          <w:szCs w:val="32"/>
          <w:lang w:val="en-US" w:eastAsia="zh-CN"/>
        </w:rPr>
      </w:pPr>
      <w:r>
        <w:rPr>
          <w:rFonts w:hint="eastAsia" w:eastAsia="黑体" w:cs="Times New Roman"/>
          <w:szCs w:val="32"/>
          <w:lang w:val="en-US" w:eastAsia="zh-CN"/>
        </w:rPr>
        <w:t>附件3</w:t>
      </w:r>
    </w:p>
    <w:p>
      <w:pPr>
        <w:pStyle w:val="4"/>
        <w:ind w:firstLine="0" w:firstLineChars="0"/>
        <w:jc w:val="center"/>
        <w:outlineLvl w:val="0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其他地区场景清单参考示例</w:t>
      </w:r>
    </w:p>
    <w:bookmarkEnd w:id="0"/>
    <w:p>
      <w:pPr>
        <w:pStyle w:val="4"/>
        <w:jc w:val="center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/>
          <w:snapToGrid w:val="0"/>
          <w:spacing w:val="0"/>
          <w:w w:val="100"/>
          <w:kern w:val="0"/>
          <w:position w:val="0"/>
          <w:lang w:eastAsia="zh-CN"/>
        </w:rPr>
      </w:pPr>
      <w:r>
        <w:rPr>
          <w:rFonts w:hint="eastAsia" w:cs="仿宋_GB2312"/>
          <w:bCs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cs="仿宋_GB2312"/>
          <w:bCs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w w:val="100"/>
          <w:kern w:val="0"/>
          <w:position w:val="0"/>
          <w:sz w:val="32"/>
          <w:szCs w:val="32"/>
          <w:highlight w:val="none"/>
        </w:rPr>
        <w:t>面向产业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/>
        </w:rPr>
        <w:t>升级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w w:val="100"/>
          <w:kern w:val="0"/>
          <w:position w:val="0"/>
          <w:sz w:val="32"/>
          <w:szCs w:val="32"/>
          <w:highlight w:val="none"/>
        </w:rPr>
        <w:t>的创新应用场景</w:t>
      </w:r>
      <w:r>
        <w:rPr>
          <w:rFonts w:hint="default" w:ascii="Times New Roman" w:hAnsi="Times New Roman" w:eastAsia="楷体_GB2312" w:cs="Times New Roman"/>
          <w:snapToGrid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围绕产业发展中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  <w:t>研发设计、生产制造、仓储物流、营销导流、售后运维等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关键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  <w:t>流程，以及交易支付、风控监管、生产节能等支撑性环节，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推动开放一批面向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  <w:t>新技术、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新产品的创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  <w:t>新场景，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/>
        </w:rPr>
        <w:t>加速新旧动能转化，全面赋能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0"/>
          <w:w w:val="100"/>
          <w:kern w:val="0"/>
          <w:position w:val="0"/>
          <w:sz w:val="32"/>
          <w:szCs w:val="32"/>
          <w:lang w:eastAsia="zh-CN"/>
        </w:rPr>
        <w:t>企业提质增效。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napToGrid w:val="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-SA"/>
              </w:rPr>
              <w:t>场景机会开放案例：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-SA"/>
              </w:rPr>
              <w:t>产业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napToGrid w:val="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-SA"/>
              </w:rPr>
              <w:t>升级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-SA"/>
              </w:rPr>
              <w:t>领域——锂电行业智慧物流仓储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仿宋_GB2312"/>
                <w:snapToGrid w:val="0"/>
                <w:spacing w:val="0"/>
                <w:w w:val="100"/>
                <w:kern w:val="0"/>
                <w:positio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XX锂电企业开放智能仓储物流建设需求，应用物联网、大数据、人工智能等技术，结合AGV、AMR、仓储管理系统等物联网产品，实现锂电池生产原料、电芯、模组等材料的自动化转运，为工厂的智能化运作提供可靠保障，减少人力资源占用，降低仓库运营成本。</w:t>
            </w:r>
            <w:r>
              <w:rPr>
                <w:rFonts w:hint="eastAsia" w:ascii="Times New Roman" w:hAnsi="Times New Roman" w:cs="Times New Roman"/>
                <w:snapToGrid w:val="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该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场景具有流程模块化、信息实时互联、应急响应迅速、易于大规模复制推广等特点，</w:t>
            </w:r>
            <w:r>
              <w:rPr>
                <w:rFonts w:hint="eastAsia" w:ascii="Times New Roman" w:hAnsi="Times New Roman" w:cs="Times New Roman"/>
                <w:snapToGrid w:val="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形成了行业标杆性的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/>
              </w:rPr>
              <w:t>全流程智能无人物流仓储管理体系。未来可针对不同的行业，定制化修改仓储流程，满足各行业各领域的需要，也可随着不同模块的升级，分阶段更新整个仓库物流体系。</w:t>
            </w:r>
          </w:p>
        </w:tc>
      </w:tr>
    </w:tbl>
    <w:p>
      <w:pPr>
        <w:numPr>
          <w:ilvl w:val="0"/>
          <w:numId w:val="0"/>
        </w:numPr>
        <w:spacing w:line="580" w:lineRule="exact"/>
        <w:ind w:firstLine="640" w:firstLineChars="200"/>
        <w:outlineLvl w:val="9"/>
        <w:rPr>
          <w:rFonts w:hint="eastAsia" w:ascii="Times New Roman" w:hAnsi="Times New Roman"/>
          <w:snapToGrid w:val="0"/>
          <w:spacing w:val="0"/>
          <w:w w:val="100"/>
          <w:kern w:val="0"/>
          <w:position w:val="0"/>
        </w:rPr>
      </w:pPr>
      <w:r>
        <w:rPr>
          <w:rFonts w:hint="eastAsia" w:cs="仿宋_GB2312"/>
          <w:bCs/>
          <w:snapToGrid w:val="0"/>
          <w:color w:val="auto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楷体" w:cs="楷体"/>
          <w:snapToGrid w:val="0"/>
          <w:color w:val="auto"/>
          <w:spacing w:val="0"/>
          <w:w w:val="100"/>
          <w:kern w:val="0"/>
          <w:position w:val="0"/>
          <w:sz w:val="32"/>
          <w:szCs w:val="32"/>
          <w:highlight w:val="none"/>
        </w:rPr>
        <w:t>面向社会</w:t>
      </w:r>
      <w:r>
        <w:rPr>
          <w:rFonts w:hint="eastAsia" w:ascii="Times New Roman" w:hAnsi="Times New Roman" w:eastAsia="楷体" w:cs="楷体"/>
          <w:snapToGrid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/>
        </w:rPr>
        <w:t>民生服务</w:t>
      </w:r>
      <w:r>
        <w:rPr>
          <w:rFonts w:hint="eastAsia" w:ascii="Times New Roman" w:hAnsi="Times New Roman" w:eastAsia="楷体" w:cs="楷体"/>
          <w:snapToGrid w:val="0"/>
          <w:color w:val="auto"/>
          <w:spacing w:val="0"/>
          <w:w w:val="100"/>
          <w:kern w:val="0"/>
          <w:position w:val="0"/>
          <w:sz w:val="32"/>
          <w:szCs w:val="32"/>
          <w:highlight w:val="none"/>
        </w:rPr>
        <w:t>的创新应用场景</w:t>
      </w:r>
      <w:r>
        <w:rPr>
          <w:rFonts w:hint="eastAsia" w:ascii="Times New Roman" w:hAnsi="Times New Roman" w:eastAsia="楷体" w:cs="楷体"/>
          <w:snapToGrid w:val="0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仿宋_GB2312"/>
          <w:bCs/>
          <w:snapToGrid w:val="0"/>
          <w:color w:val="auto"/>
          <w:spacing w:val="0"/>
          <w:w w:val="100"/>
          <w:kern w:val="0"/>
          <w:position w:val="0"/>
          <w:sz w:val="32"/>
          <w:szCs w:val="32"/>
          <w:highlight w:val="none"/>
        </w:rPr>
        <w:t>面向更贴心的社会构建，加强大数据、物联网、人工智能、元宇宙等新技术在民生服务领域的融合应用，积极打造社会服务、智慧教育、智慧医疗、智慧养老、智慧社区、文旅消费等创新应用场景，提升居民生活的便利性和幸福感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snapToGrid w:val="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napToGrid w:val="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-SA"/>
              </w:rPr>
              <w:t>场景机会开放案例：社会民生领域——住宅高空抛物监测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 w:firstLine="480" w:firstLineChars="200"/>
              <w:jc w:val="both"/>
              <w:textAlignment w:val="auto"/>
              <w:rPr>
                <w:rFonts w:hint="eastAsia" w:ascii="Times New Roman" w:hAnsi="Times New Roman" w:cs="仿宋_GB2312"/>
                <w:snapToGrid w:val="0"/>
                <w:spacing w:val="0"/>
                <w:w w:val="100"/>
                <w:kern w:val="0"/>
                <w:positio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仿宋_GB2312"/>
                <w:snapToGrid w:val="0"/>
                <w:spacing w:val="0"/>
                <w:w w:val="100"/>
                <w:kern w:val="0"/>
                <w:position w:val="0"/>
                <w:sz w:val="24"/>
                <w:szCs w:val="24"/>
                <w:lang w:val="en-US" w:eastAsia="zh-CN" w:bidi="ar-SA"/>
              </w:rPr>
              <w:t>高空抛物被称为“悬在城市上空的痛”，不仅威胁市民生命安全，也危害公共秩序，成为城市管理、社区治理的一大顽症。XX市民政局开放住宅高空抛物监测需求，应用图像识别、物联网、人工智能算法等技术，应用高清摄像头等物联网智能监测设备，构建住宅高空抛物安全监测场景。通过非接触式测量，可对高空抛物速度、轨迹、落点等关键信息进行准确监测，实现对高空抛物的实时预警和识别。通过该场景建设，有效减少了高空抛物事件的发生，降低相关事故产生和直接经济损失，提升城市的公共安全环境和居民的生活质量，保护市民的人身安全和财产安全，提高社会的稳定性和安宁度。</w:t>
            </w:r>
          </w:p>
        </w:tc>
      </w:tr>
    </w:tbl>
    <w:p>
      <w:pPr>
        <w:pStyle w:val="4"/>
        <w:jc w:val="center"/>
        <w:rPr>
          <w:rFonts w:hint="default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3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2025-11-14T09:05:48Z</dcterms:created>
  <dc:creator>1</dc:creator>
  <cp:lastModifiedBy>1</cp:lastModifiedBy>
  <dcterms:modified xsi:type="dcterms:W3CDTF">2025-11-14T09:06:02Z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5ED198D241AA498DB6F1CCEECC41FBF6</vt:lpwstr>
  </property>
</Properties>
</file>