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泰安市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技术创新中心绩效评价自评报告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编写提纲</w:t>
      </w: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自评工作开展情况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主要任务目标完成情况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组织架构与运行机制建设情况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取得的主要成效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sz w:val="32"/>
          <w:szCs w:val="32"/>
        </w:rPr>
        <w:t>承担国家和省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、市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重大战略任务、实施关键技术攻关、引进培养高层次人才、科技成果转化、培育孵化科技型企业和对产业辐射带动作用等）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经费管理及使用情况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主要问题和建议</w:t>
      </w:r>
      <w:r>
        <w:rPr>
          <w:rFonts w:hint="eastAsia" w:ascii="仿宋_GB2312" w:hAnsi="仿宋" w:eastAsia="仿宋_GB2312" w:cs="仿宋"/>
          <w:sz w:val="32"/>
          <w:szCs w:val="32"/>
        </w:rPr>
        <w:t>（包括“卡脖子”技术问题）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典型案例</w:t>
      </w:r>
      <w:r>
        <w:rPr>
          <w:rFonts w:hint="eastAsia" w:ascii="仿宋_GB2312" w:hAnsi="仿宋" w:eastAsia="仿宋_GB2312" w:cs="仿宋"/>
          <w:sz w:val="32"/>
          <w:szCs w:val="32"/>
        </w:rPr>
        <w:t>（在体制机制创新、技术攻关、人才引进培养、科技服务等方面的典型案例）</w:t>
      </w:r>
    </w:p>
    <w:p>
      <w:pPr>
        <w:autoSpaceDE w:val="0"/>
        <w:autoSpaceDN w:val="0"/>
        <w:adjustRightInd w:val="0"/>
        <w:spacing w:line="580" w:lineRule="exact"/>
        <w:jc w:val="left"/>
        <w:rPr>
          <w:rFonts w:ascii="黑体" w:hAnsi="黑体" w:eastAsia="黑体" w:cs="黑体"/>
          <w:sz w:val="36"/>
          <w:szCs w:val="36"/>
        </w:rPr>
      </w:pPr>
    </w:p>
    <w:p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E5458"/>
    <w:multiLevelType w:val="singleLevel"/>
    <w:tmpl w:val="5E4E545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74C44"/>
    <w:rsid w:val="66774E4C"/>
    <w:rsid w:val="6FABC1AF"/>
    <w:rsid w:val="7C374C44"/>
    <w:rsid w:val="BBB7F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2020-12-09T00:06:00Z</dcterms:created>
  <dc:creator>CH</dc:creator>
  <cp:lastModifiedBy>cgklxl</cp:lastModifiedBy>
  <dcterms:modified xsi:type="dcterms:W3CDTF">2023-09-04T08:41:11Z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92F80AE72A9E6B44993BF164BC488F98</vt:lpwstr>
  </property>
</Properties>
</file>