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场景创新的实施意见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（征求意见稿）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为贯彻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落实山东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省政府办公厅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z w:val="36"/>
          <w:szCs w:val="36"/>
        </w:rPr>
        <w:t>《关于加快科技成果转化的若干措施》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（鲁政办字〔2024〕148号）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，抢抓场景创新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重大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机遇，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科技成果转化效能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，促进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科技创新和产业创新深度融合，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结合泰安实际，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制定本实施意见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一、发展目标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坚持政府统筹、企业主体、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科技引领、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开放共享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原则，发挥场景创新引领科技创新、培育未来产业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、强化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区域发展优势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重大促进作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用，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建立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全市</w:t>
      </w:r>
      <w:r>
        <w:rPr>
          <w:rFonts w:hint="default" w:ascii="Times New Roman" w:hAnsi="Times New Roman" w:eastAsia="仿宋_GB2312"/>
          <w:sz w:val="36"/>
          <w:szCs w:val="36"/>
          <w:highlight w:val="none"/>
        </w:rPr>
        <w:t>“12</w:t>
      </w:r>
      <w:r>
        <w:rPr>
          <w:rFonts w:hint="eastAsia" w:ascii="Times New Roman" w:hAnsi="Times New Roman" w:eastAsia="仿宋_GB2312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/>
          <w:sz w:val="36"/>
          <w:szCs w:val="36"/>
          <w:highlight w:val="none"/>
        </w:rPr>
        <w:t>”</w:t>
      </w:r>
      <w:r>
        <w:rPr>
          <w:rFonts w:hint="default" w:ascii="Times New Roman" w:hAnsi="Times New Roman" w:eastAsia="仿宋_GB2312"/>
          <w:sz w:val="36"/>
          <w:szCs w:val="36"/>
        </w:rPr>
        <w:t>场景创新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体系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构建1个泰山超级场景品牌，聚焦产业优化升级、城市品质提升2个特色场景领域，强化主体培育、示范创建、资源对接、要素支撑4个重点工作，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通过高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价值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场景应用打通成果转化堵点，加速培育和发展新质生产力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加快泰安建成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新型工业化强市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黄河流域生态保护和高质量发展先行区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支撑山东新时代现代化强省建设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。</w:t>
      </w: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/>
          <w:sz w:val="36"/>
          <w:szCs w:val="36"/>
          <w:highlight w:val="yellow"/>
        </w:rPr>
      </w:pP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按照“一年</w:t>
      </w:r>
      <w:r>
        <w:rPr>
          <w:rFonts w:hint="default" w:ascii="Times New Roman" w:hAnsi="Times New Roman" w:eastAsia="仿宋_GB2312"/>
          <w:sz w:val="36"/>
          <w:szCs w:val="36"/>
        </w:rPr>
        <w:t>建机制、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两年</w:t>
      </w:r>
      <w:r>
        <w:rPr>
          <w:rFonts w:hint="default" w:ascii="Times New Roman" w:hAnsi="Times New Roman" w:eastAsia="仿宋_GB2312"/>
          <w:sz w:val="36"/>
          <w:szCs w:val="36"/>
        </w:rPr>
        <w:t>立标杆、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三年</w:t>
      </w:r>
      <w:r>
        <w:rPr>
          <w:rFonts w:hint="default" w:ascii="Times New Roman" w:hAnsi="Times New Roman" w:eastAsia="仿宋_GB2312"/>
          <w:sz w:val="36"/>
          <w:szCs w:val="36"/>
        </w:rPr>
        <w:t>出成效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分步骤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分阶段推进场景创新工作，力争到2027年底，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全市累计发布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不少于50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个场景机会、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0个场景能力，举办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不少于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10场次场景创新对接活动，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打造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不少于</w:t>
      </w:r>
      <w:r>
        <w:rPr>
          <w:rFonts w:hint="default" w:ascii="Times New Roman" w:hAnsi="Times New Roman" w:eastAsia="仿宋_GB2312" w:cs="Times New Roman"/>
          <w:sz w:val="36"/>
          <w:szCs w:val="36"/>
        </w:rPr>
        <w:t>10个标杆示范场景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塑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sz w:val="36"/>
          <w:szCs w:val="36"/>
        </w:rPr>
        <w:t>“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科聚泰山、产兴泰安</w:t>
      </w:r>
      <w:r>
        <w:rPr>
          <w:rFonts w:hint="default" w:ascii="Times New Roman" w:hAnsi="Times New Roman" w:eastAsia="仿宋_GB2312" w:cs="Times New Roman"/>
          <w:sz w:val="36"/>
          <w:szCs w:val="36"/>
        </w:rPr>
        <w:t>”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场景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品牌，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以场景创新广泛汇聚科创资源、服务全省新技术新产品首试首用，促进主导产业转型，为场景创新培育企业做大做强探索经验。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二、重点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构建泰山超级场景品牌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1.</w:t>
      </w:r>
      <w:bookmarkStart w:id="0" w:name="OLE_LINK2"/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搭建泰山场景科创平台</w:t>
      </w:r>
      <w:bookmarkEnd w:id="0"/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val="en-US" w:eastAsia="zh-CN"/>
        </w:rPr>
        <w:t>依托泰山品牌影响力和场景资源禀赋，整合高校、科研机构及科创企业资源，打造立足泰安、服务全省的新技术新产品首试首用科创平台。强化平台科技创新策源作用，支撑全省科技成果转化与产业升级，力争将“泰山超级场景”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highlight w:val="none"/>
          <w:lang w:val="en-US" w:eastAsia="zh-CN"/>
        </w:rPr>
        <w:t>打造成全省特色品牌。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eastAsia" w:ascii="Times New Roman" w:hAnsi="Times New Roman" w:eastAsia="楷体_GB2312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2.打造</w:t>
      </w:r>
      <w:r>
        <w:rPr>
          <w:rFonts w:hint="default" w:ascii="Times New Roman" w:hAnsi="Times New Roman" w:eastAsia="仿宋_GB2312"/>
          <w:b/>
          <w:bCs/>
          <w:sz w:val="36"/>
          <w:szCs w:val="36"/>
        </w:rPr>
        <w:t>泰山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引领的文旅特色</w:t>
      </w:r>
      <w:r>
        <w:rPr>
          <w:rFonts w:hint="default" w:ascii="Times New Roman" w:hAnsi="Times New Roman" w:eastAsia="仿宋_GB2312"/>
          <w:b/>
          <w:bCs/>
          <w:sz w:val="36"/>
          <w:szCs w:val="36"/>
        </w:rPr>
        <w:t>场景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以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泰山景区为载体，围绕数字化基础设施建设、旅游观光体验、生态保护提升、文化科普研学、品牌衍生开发等方向，打造泰山文旅场景。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</w:rPr>
        <w:t>开拓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</w:rPr>
        <w:t>体验式、参与式、个性化、品质型”新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文旅场景，打造VR文旅、沉浸式体验等场景应用示范项目，推动文旅消费升级。</w:t>
      </w:r>
      <w:bookmarkStart w:id="1" w:name="OLE_LINK4"/>
      <w:r>
        <w:rPr>
          <w:rFonts w:hint="default" w:ascii="Times New Roman" w:hAnsi="Times New Roman" w:eastAsia="仿宋_GB2312" w:cs="Times New Roman"/>
          <w:sz w:val="36"/>
          <w:szCs w:val="36"/>
        </w:rPr>
        <w:t>发挥泰山超级场景辐射效应，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打造“科技+”“消费+”“民俗+”等跨界融合场景，推动文旅产业多元化发展，</w:t>
      </w:r>
      <w:r>
        <w:rPr>
          <w:rFonts w:hint="eastAsia" w:ascii="Times New Roman" w:hAnsi="Times New Roman" w:eastAsia="仿宋_GB2312" w:cs="Times New Roman"/>
          <w:strike w:val="0"/>
          <w:sz w:val="36"/>
          <w:szCs w:val="36"/>
          <w:lang w:val="en-US" w:eastAsia="zh-CN"/>
        </w:rPr>
        <w:t>整合泰安市旅游资源，创新</w:t>
      </w:r>
      <w:r>
        <w:rPr>
          <w:rFonts w:hint="default" w:ascii="Times New Roman" w:hAnsi="Times New Roman" w:eastAsia="仿宋_GB2312" w:cs="Times New Roman"/>
          <w:strike w:val="0"/>
          <w:sz w:val="36"/>
          <w:szCs w:val="36"/>
        </w:rPr>
        <w:t>旅游生态</w:t>
      </w:r>
      <w:r>
        <w:rPr>
          <w:rFonts w:hint="eastAsia" w:ascii="Times New Roman" w:hAnsi="Times New Roman" w:eastAsia="仿宋_GB2312" w:cs="Times New Roman"/>
          <w:strike w:val="0"/>
          <w:sz w:val="36"/>
          <w:szCs w:val="36"/>
          <w:lang w:val="en-US" w:eastAsia="zh-CN"/>
        </w:rPr>
        <w:t>圈</w:t>
      </w:r>
      <w:r>
        <w:rPr>
          <w:rFonts w:hint="eastAsia" w:ascii="Times New Roman" w:hAnsi="Times New Roman" w:eastAsia="仿宋_GB2312" w:cs="Times New Roman"/>
          <w:strike w:val="0"/>
          <w:sz w:val="36"/>
          <w:szCs w:val="36"/>
          <w:lang w:eastAsia="zh-CN"/>
        </w:rPr>
        <w:t>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重点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赋能产业转型升级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.</w:t>
      </w:r>
      <w:bookmarkStart w:id="2" w:name="OLE_LINK1"/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开放优势产业场景。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聚焦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全市重点产业链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高端化、智能化、绿色化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需求，鼓励链主企业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围绕产品研发、生产制造、运营管理、物流运输等业务流程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开放场景资源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链接全国智能制造、人工智能、工业互联网、绿色低碳、供应链管理等领域高科技企业，创新和丰富应用场景。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培育新产业新业态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场景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围绕高端装备、新材料、未来能源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等领</w:t>
      </w:r>
      <w:r>
        <w:rPr>
          <w:rFonts w:hint="eastAsia" w:ascii="Times New Roman" w:hAnsi="Times New Roman" w:eastAsia="仿宋_GB2312"/>
          <w:sz w:val="36"/>
          <w:szCs w:val="36"/>
          <w:highlight w:val="none"/>
          <w:lang w:val="en-US" w:eastAsia="zh-CN"/>
        </w:rPr>
        <w:t>域，推进应用场景创新建设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鼓励企业以场景为导向开展技术研发、产品创新、应用推广。</w:t>
      </w:r>
      <w:r>
        <w:rPr>
          <w:rFonts w:hint="eastAsia" w:ascii="Times New Roman" w:hAnsi="Times New Roman" w:eastAsia="仿宋_GB2312"/>
          <w:sz w:val="36"/>
          <w:szCs w:val="36"/>
        </w:rPr>
        <w:t>通过政策引导与资源整合，助力企业新技术、新产品在泰安首试首用，为未来产业培育提供加速器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。</w:t>
      </w:r>
    </w:p>
    <w:p>
      <w:pPr>
        <w:pStyle w:val="6"/>
        <w:spacing w:line="600" w:lineRule="exact"/>
        <w:ind w:leftChars="0" w:firstLine="723" w:firstLineChars="200"/>
        <w:outlineLvl w:val="1"/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（三）联动城市空间品质提升</w:t>
      </w:r>
    </w:p>
    <w:p>
      <w:pPr>
        <w:pStyle w:val="6"/>
        <w:spacing w:line="600" w:lineRule="exact"/>
        <w:ind w:leftChars="0" w:firstLine="723" w:firstLineChars="200"/>
        <w:outlineLvl w:val="9"/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5.拓展城市治理场景。</w:t>
      </w:r>
      <w:r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  <w:lang w:val="en-US" w:eastAsia="zh-CN"/>
        </w:rPr>
        <w:t>运用信息技术、人工智能等提升城市精细化、智慧化管理水平，重点围绕智慧交通、城市安全、应急管理、生态治理等领域进行场景开发，打造低空经济、智能交通指挥调度、地下管线数字化、灾害预警、生态修复工程等标杆场景。</w:t>
      </w:r>
    </w:p>
    <w:p>
      <w:pPr>
        <w:pStyle w:val="6"/>
        <w:spacing w:line="600" w:lineRule="exact"/>
        <w:ind w:leftChars="0" w:firstLine="723" w:firstLineChars="200"/>
        <w:outlineLvl w:val="9"/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6.丰富社会民生场景。</w:t>
      </w:r>
      <w:r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  <w:lang w:val="en-US" w:eastAsia="zh-CN"/>
        </w:rPr>
        <w:t>围绕数智民生服务，</w:t>
      </w:r>
      <w:r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</w:rPr>
        <w:t>推动人工智能、人形机器人等先进技术在智慧教育、智慧医疗</w:t>
      </w:r>
      <w:r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  <w:lang w:val="en-US" w:eastAsia="zh-CN"/>
        </w:rPr>
        <w:t>等方向开展场景应用。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  <w:t>）培育场景创新主体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强化企业主体作用。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sz w:val="36"/>
          <w:szCs w:val="36"/>
          <w:lang w:val="en-US" w:eastAsia="zh-CN"/>
        </w:rPr>
        <w:t>开展场景企业培育计划，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支持制造业单项冠军</w:t>
      </w:r>
      <w:r>
        <w:rPr>
          <w:rFonts w:hint="default" w:ascii="Times New Roman" w:hAnsi="Times New Roman" w:eastAsia="仿宋_GB2312" w:cs="Times New Roman"/>
          <w:sz w:val="36"/>
          <w:szCs w:val="36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专精特新“小巨人”</w:t>
      </w:r>
      <w:r>
        <w:rPr>
          <w:rFonts w:hint="default" w:ascii="Times New Roman" w:hAnsi="Times New Roman" w:eastAsia="仿宋_GB2312" w:cs="Times New Roman"/>
          <w:sz w:val="36"/>
          <w:szCs w:val="36"/>
        </w:rPr>
        <w:t>、高新技术企业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围绕场景应用方向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，深度挖掘用户需求，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发挥场景创新能力，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结合先进技术创造新解决方案和商业模式，实现跨越式发展。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调动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高校院所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力量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探索构建产学研协同场景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创新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生态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支持高校、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科研单位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围绕场景需求集聚资源、开展研发，联合龙头企业共建研发与中试平台，以场景为核心打造创新联合体，推动技术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进步和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产业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深度融合。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壮大服务机构。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鼓励智库机构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技术转移机构、行业协会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等组建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行业性、区域性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场景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创新促进中心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协助开展创新政策和机制研究，链接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生态资源，为场景创新工作提供全流程服务支撑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与保障。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  <w:t>（二）推动重大场景示范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4.构建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跨区域联动场景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面向全国高校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、科研单位</w:t>
      </w:r>
      <w:r>
        <w:rPr>
          <w:rFonts w:hint="default" w:ascii="Times New Roman" w:hAnsi="Times New Roman" w:eastAsia="仿宋_GB2312" w:cs="Times New Roman"/>
          <w:sz w:val="36"/>
          <w:szCs w:val="36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创新型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开放场景、发布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场景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需求，健全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场景共享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对接机制，打造“全国研发、泰安转化”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成果转化共享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模式。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重点支持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济泰同城化、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钢城新泰一体化场景共享协作，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开展跨区域场景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打造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关联产业协同场景。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5.打造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泰安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行业标杆场景。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聚焦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输变电设备、高端矿产装备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新型建筑材料、高性能纤维、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新型储能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等重点领域，在重大工程、项目中打造一批引领行业变革、示范效应显著的标杆场景。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6.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建立区域特色品牌场景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。</w:t>
      </w:r>
      <w:r>
        <w:rPr>
          <w:rFonts w:hint="eastAsia" w:ascii="Times New Roman" w:hAnsi="Times New Roman" w:eastAsia="仿宋_GB2312"/>
          <w:sz w:val="36"/>
          <w:szCs w:val="36"/>
        </w:rPr>
        <w:t>依托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各县（市、区）</w:t>
      </w:r>
      <w:r>
        <w:rPr>
          <w:rFonts w:hint="eastAsia" w:ascii="Times New Roman" w:hAnsi="Times New Roman" w:eastAsia="仿宋_GB2312"/>
          <w:sz w:val="36"/>
          <w:szCs w:val="36"/>
        </w:rPr>
        <w:t>资源禀赋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和产业基础，</w:t>
      </w:r>
      <w:r>
        <w:rPr>
          <w:rFonts w:hint="eastAsia" w:ascii="Times New Roman" w:hAnsi="Times New Roman" w:eastAsia="仿宋_GB2312"/>
          <w:sz w:val="36"/>
          <w:szCs w:val="36"/>
        </w:rPr>
        <w:t>按照“一区一特色、一业一场景”，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探索“场景换入驻”模式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吸引企业集聚，提升园区能级。建设场景创新中心，为新技术、新工艺、新产品提供展示与应用示范平台，以场景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  <w:t>创新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拉动区域发展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sz w:val="36"/>
          <w:szCs w:val="36"/>
        </w:rPr>
        <w:t>构建全域差异化场景创新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  <w:t>（三）畅通场景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eastAsia="zh-CN"/>
        </w:rPr>
        <w:t>资源对接</w:t>
      </w:r>
    </w:p>
    <w:p>
      <w:pPr>
        <w:spacing w:line="600" w:lineRule="exact"/>
        <w:ind w:firstLine="723" w:firstLineChars="200"/>
        <w:outlineLvl w:val="9"/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开放场景资源。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各县（市、区）、功能区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国有重点企业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围绕提供公共产品与服务、保障城市安全运行、服务社会民生等方面，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主动开放场景资源。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鼓励行业龙头企业、链主企业积极开放场景资源，开展应用场景创新实践，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打造一批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可示范、可推广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的首试首用场景。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常态化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</w:rPr>
        <w:t>开展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eastAsia="zh-CN"/>
        </w:rPr>
        <w:t>场景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</w:rPr>
        <w:t>清单编制工作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val="en-US" w:eastAsia="zh-CN"/>
        </w:rPr>
        <w:t>筛选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</w:rPr>
        <w:t>高价值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val="en-US" w:eastAsia="zh-CN"/>
        </w:rPr>
        <w:t>可落地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</w:rPr>
        <w:t>应用场景，形成场景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val="en-US" w:eastAsia="zh-CN"/>
        </w:rPr>
        <w:t>机会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</w:rPr>
        <w:t>清单及企业能力清单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</w:rPr>
        <w:t>定期面向社会发布</w:t>
      </w:r>
      <w:r>
        <w:rPr>
          <w:rFonts w:hint="eastAsia" w:ascii="Times New Roman" w:hAnsi="Times New Roman" w:eastAsia="仿宋_GB2312"/>
          <w:b w:val="0"/>
          <w:bCs w:val="0"/>
          <w:sz w:val="36"/>
          <w:szCs w:val="36"/>
          <w:lang w:eastAsia="zh-CN"/>
        </w:rPr>
        <w:t>。</w:t>
      </w:r>
    </w:p>
    <w:p>
      <w:pPr>
        <w:pStyle w:val="6"/>
        <w:ind w:left="0" w:leftChars="0" w:firstLine="723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.健全供需对接机制。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鼓励各地举办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场景发布、项目路演、供需匹配、专题招商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场景促进活动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，搭建“找技术、找场景、找资金”平台。发挥场景创新促进机构、泰山科技大市场、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产业链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商协会、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技术市场协会、技术经理人协会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第三方机构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用，</w:t>
      </w:r>
      <w:r>
        <w:rPr>
          <w:rFonts w:hint="default" w:ascii="Times New Roman" w:hAnsi="Times New Roman" w:eastAsia="仿宋_GB2312"/>
          <w:kern w:val="0"/>
          <w:sz w:val="36"/>
          <w:szCs w:val="36"/>
          <w:shd w:val="clear" w:color="auto" w:fill="FFFFFF"/>
          <w:lang w:bidi="ar"/>
        </w:rPr>
        <w:t>开辟</w:t>
      </w:r>
      <w:r>
        <w:rPr>
          <w:rFonts w:hint="eastAsia" w:ascii="Times New Roman" w:hAnsi="Times New Roman" w:eastAsia="仿宋_GB2312"/>
          <w:kern w:val="0"/>
          <w:sz w:val="36"/>
          <w:szCs w:val="36"/>
          <w:shd w:val="clear" w:color="auto" w:fill="FFFFFF"/>
          <w:lang w:val="en-US" w:eastAsia="zh-CN" w:bidi="ar"/>
        </w:rPr>
        <w:t>线上</w:t>
      </w:r>
      <w:r>
        <w:rPr>
          <w:rFonts w:hint="default" w:ascii="Times New Roman" w:hAnsi="Times New Roman" w:eastAsia="仿宋_GB2312"/>
          <w:kern w:val="0"/>
          <w:sz w:val="36"/>
          <w:szCs w:val="36"/>
          <w:shd w:val="clear" w:color="auto" w:fill="FFFFFF"/>
          <w:lang w:bidi="ar"/>
        </w:rPr>
        <w:t>场景信息汇聚发布专区</w:t>
      </w:r>
      <w:r>
        <w:rPr>
          <w:rFonts w:hint="eastAsia" w:ascii="Times New Roman" w:hAnsi="Times New Roman" w:eastAsia="仿宋_GB2312"/>
          <w:kern w:val="0"/>
          <w:sz w:val="36"/>
          <w:szCs w:val="36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创新场景招商模式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将场景招商作为优化营商环境重要举措，探索“场景入股、成长共享”等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多元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合作模式，推动从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给资金”、“给政策”向“供场景”、“给机会”</w:t>
      </w:r>
      <w:r>
        <w:rPr>
          <w:rFonts w:hint="default" w:ascii="Times New Roman" w:hAnsi="Times New Roman" w:eastAsia="仿宋_GB2312" w:cs="Times New Roman"/>
          <w:sz w:val="36"/>
          <w:szCs w:val="36"/>
        </w:rPr>
        <w:t>转变。以“机遇泰安·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场景泰安</w:t>
      </w:r>
      <w:r>
        <w:rPr>
          <w:rFonts w:hint="default" w:ascii="Times New Roman" w:hAnsi="Times New Roman" w:eastAsia="仿宋_GB2312" w:cs="Times New Roman"/>
          <w:sz w:val="36"/>
          <w:szCs w:val="36"/>
        </w:rPr>
        <w:t>”为主题，举办场景创新峰会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和场景创新大赛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，推介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泰安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场景机会，精准招引高成长企业和细分赛道领军企业。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eastAsia="zh-CN"/>
        </w:rPr>
        <w:t>）强化要素支撑保障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.加大财政支持力度。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统筹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市级财政科技资金，设立场景创新专项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在“揭榜挂帅”项目中探索设置场景指标，重点支持导向明确、创新性强、应用价值大、示范性好、前景广阔的重大场景项目，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引导人才、技术、风险投资、商业模式等产业创新资源快速集聚并产生放大效应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.夯实数据要素基础。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推动城市及行业公共数据资源体系建设与开放共享，</w:t>
      </w:r>
      <w:r>
        <w:rPr>
          <w:rFonts w:hint="default" w:ascii="Times New Roman" w:hAnsi="Times New Roman" w:eastAsia="仿宋_GB2312"/>
          <w:sz w:val="36"/>
          <w:szCs w:val="36"/>
        </w:rPr>
        <w:t>推动数据底座与工业、产业互联网平台融合创新，促进数据有效连接与融合应用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，为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典型应用场景提供数据支持服务。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.创新金融支持方式。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投资机构参与场景建设，为前沿技术验证和商业化提供耐心资本。鼓励金融机构开发面向中小企业场景创新的金融产品，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助力解决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  <w:t>场景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  <w:t>项目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融资需求</w:t>
      </w:r>
      <w:r>
        <w:rPr>
          <w:rFonts w:hint="default" w:ascii="Times New Roman" w:hAnsi="Times New Roman" w:eastAsia="仿宋_GB2312" w:cs="Times New Roman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“链主”企业与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  <w:t>产业链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上下游企业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  <w:t>共同开发应用场景，主动为场景落地和成果推广提供供应链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金融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  <w:t>支持</w:t>
      </w:r>
      <w:r>
        <w:rPr>
          <w:rFonts w:hint="default" w:ascii="Times New Roman" w:hAnsi="Times New Roman" w:eastAsia="仿宋_GB2312" w:cs="Times New Roman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6"/>
          <w:szCs w:val="36"/>
        </w:rPr>
        <w:t>、保障措施</w:t>
      </w:r>
    </w:p>
    <w:p>
      <w:pP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加强组织领导，充分发挥市委科技委统筹协调作用，推动部门协同和上下联动，整体有序推进全市场景创新工作。各县（市、区）政府、功能区管委会、相关部门及单位切实加强对本区域、本领域、本行业场景创新工作的指导，确保各项任务落实落地。加强宣传引导，广泛宣传场景创新成果，推广先进典型案例，营造全社会共同参与场景创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的浓厚氛围。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Body Text First Indent 21"/>
    <w:basedOn w:val="7"/>
    <w:unhideWhenUsed/>
    <w:qFormat/>
    <w:uiPriority w:val="99"/>
    <w:pPr>
      <w:ind w:left="0" w:firstLine="420"/>
    </w:pPr>
    <w:rPr>
      <w:rFonts w:eastAsia="Times New Roman"/>
      <w:sz w:val="32"/>
      <w:szCs w:val="32"/>
    </w:rPr>
  </w:style>
  <w:style w:type="paragraph" w:customStyle="1" w:styleId="7">
    <w:name w:val="Body Text Indent1"/>
    <w:basedOn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2025-06-27T10:02:52Z</dcterms:created>
  <dc:creator>1</dc:creator>
  <cp:lastModifiedBy>1</cp:lastModifiedBy>
  <dcterms:modified xsi:type="dcterms:W3CDTF">2025-06-27T10:03:00Z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13F36C89DEB24E1BB16E05289D893438</vt:lpwstr>
  </property>
</Properties>
</file>